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2" w:rsidRPr="005217A0" w:rsidRDefault="005217A0" w:rsidP="001524C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142523">
        <w:rPr>
          <w:rFonts w:ascii="Times New Roman" w:hAnsi="Times New Roman" w:cs="Times New Roman"/>
          <w:b/>
          <w:sz w:val="24"/>
          <w:szCs w:val="24"/>
        </w:rPr>
        <w:t>–ОФЕРТА №5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  <w:bookmarkStart w:id="0" w:name="_Ref269999652"/>
      <w:r w:rsidRPr="005217A0">
        <w:rPr>
          <w:rFonts w:eastAsia="Calibri"/>
          <w:b/>
          <w:kern w:val="0"/>
          <w:szCs w:val="24"/>
          <w:lang w:val="ru-RU"/>
        </w:rPr>
        <w:t>Общество с ограниченной ответственностью «Медицинский Навигатор»</w:t>
      </w:r>
      <w:r w:rsidRPr="005217A0">
        <w:rPr>
          <w:rFonts w:eastAsia="Calibri"/>
          <w:kern w:val="0"/>
          <w:szCs w:val="24"/>
          <w:lang w:val="ru-RU"/>
        </w:rPr>
        <w:t xml:space="preserve">, в лице </w:t>
      </w:r>
      <w:r w:rsidRPr="005217A0">
        <w:rPr>
          <w:rFonts w:eastAsia="Times New Roman"/>
          <w:szCs w:val="24"/>
          <w:lang w:val="ru-RU"/>
        </w:rPr>
        <w:t xml:space="preserve">в лице  </w:t>
      </w:r>
      <w:r w:rsidRPr="005217A0">
        <w:rPr>
          <w:szCs w:val="24"/>
          <w:shd w:val="clear" w:color="auto" w:fill="FFFFFF"/>
          <w:lang w:val="ru-RU"/>
        </w:rPr>
        <w:t>Генерального директора  Бобровой Анастасии Сергеевны, действующей на основании доверенности Устава,</w:t>
      </w:r>
      <w:r w:rsidRPr="005217A0">
        <w:rPr>
          <w:rFonts w:eastAsia="Calibri"/>
          <w:kern w:val="0"/>
          <w:szCs w:val="24"/>
          <w:lang w:val="ru-RU"/>
        </w:rPr>
        <w:t xml:space="preserve"> именуемое в дальнейшем </w:t>
      </w:r>
      <w:r w:rsidRPr="005217A0">
        <w:rPr>
          <w:rFonts w:eastAsia="Calibri"/>
          <w:b/>
          <w:kern w:val="0"/>
          <w:szCs w:val="24"/>
          <w:lang w:val="ru-RU"/>
        </w:rPr>
        <w:t>«Исполнитель»</w:t>
      </w:r>
      <w:r w:rsidRPr="005217A0">
        <w:rPr>
          <w:rFonts w:eastAsia="Calibri"/>
          <w:kern w:val="0"/>
          <w:szCs w:val="24"/>
          <w:lang w:val="ru-RU"/>
        </w:rPr>
        <w:t xml:space="preserve">, </w:t>
      </w:r>
      <w:bookmarkEnd w:id="0"/>
      <w:r w:rsidR="002C5AF2">
        <w:rPr>
          <w:bCs/>
          <w:szCs w:val="24"/>
          <w:lang w:val="ru-RU"/>
        </w:rPr>
        <w:t xml:space="preserve">предлагает </w:t>
      </w:r>
      <w:r w:rsidR="00142523">
        <w:rPr>
          <w:bCs/>
          <w:szCs w:val="24"/>
          <w:lang w:val="ru-RU"/>
        </w:rPr>
        <w:t>информационные и/или организационные услуги по запросу Заказчика.</w:t>
      </w: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ПРЕДМЕТ ДОГОВОРА.</w:t>
      </w:r>
    </w:p>
    <w:p w:rsidR="001524C2" w:rsidRPr="005217A0" w:rsidRDefault="001524C2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Исполнитель </w:t>
      </w:r>
      <w:r w:rsidRPr="005217A0">
        <w:rPr>
          <w:rFonts w:ascii="Times New Roman" w:hAnsi="Times New Roman" w:cs="Times New Roman"/>
          <w:sz w:val="24"/>
          <w:szCs w:val="24"/>
        </w:rPr>
        <w:t xml:space="preserve">обязуется по заданию </w:t>
      </w:r>
      <w:r w:rsidR="00142523">
        <w:rPr>
          <w:rFonts w:ascii="Times New Roman" w:hAnsi="Times New Roman" w:cs="Times New Roman"/>
          <w:sz w:val="24"/>
          <w:szCs w:val="24"/>
        </w:rPr>
        <w:t>Заказчика информационные и/или организационные услуги по предварительному согласованию.</w:t>
      </w:r>
    </w:p>
    <w:p w:rsidR="001524C2" w:rsidRPr="005217A0" w:rsidRDefault="001524C2" w:rsidP="001524C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 При оказании услуг Исполнитель обязуется:</w:t>
      </w:r>
    </w:p>
    <w:p w:rsidR="001524C2" w:rsidRPr="005217A0" w:rsidRDefault="001524C2" w:rsidP="002C5AF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предоставить Заказчику </w:t>
      </w:r>
      <w:r w:rsidR="002C5AF2">
        <w:rPr>
          <w:rFonts w:ascii="Times New Roman" w:eastAsia="Arial" w:hAnsi="Times New Roman" w:cs="Times New Roman"/>
          <w:sz w:val="24"/>
          <w:szCs w:val="24"/>
        </w:rPr>
        <w:t>текстовый файл с выполненным переводом  предоставленной медицинской документации на выбранный иностранный язык.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Заказчик обязан: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Представлять Исполнителю достоверную информацию по форме и иным требованиям, установленным Договором.</w:t>
      </w:r>
    </w:p>
    <w:p w:rsidR="001524C2" w:rsidRPr="005217A0" w:rsidRDefault="002C5AF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получении </w:t>
      </w:r>
      <w:r w:rsidR="001524C2" w:rsidRPr="005217A0">
        <w:rPr>
          <w:rFonts w:ascii="Times New Roman" w:eastAsia="Arial" w:hAnsi="Times New Roman" w:cs="Times New Roman"/>
          <w:sz w:val="24"/>
          <w:szCs w:val="24"/>
        </w:rPr>
        <w:t>услуг Заказчик имеет право:</w:t>
      </w:r>
    </w:p>
    <w:p w:rsidR="001524C2" w:rsidRPr="005217A0" w:rsidRDefault="001524C2" w:rsidP="001524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Отказаться от оказания услуг по настоящему Договору. При этом Заказчик обязан оплатить Исполнителю фактически оказанные услуги, а также услуги, оказанные Заказчику по заявке Исполнителя</w:t>
      </w:r>
      <w:proofErr w:type="gramStart"/>
      <w:r w:rsidRPr="005217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5AF2">
        <w:rPr>
          <w:rFonts w:ascii="Times New Roman" w:eastAsia="Arial" w:hAnsi="Times New Roman" w:cs="Times New Roman"/>
          <w:sz w:val="24"/>
          <w:szCs w:val="24"/>
        </w:rPr>
        <w:t>Т</w:t>
      </w:r>
      <w:proofErr w:type="gramEnd"/>
      <w:r w:rsidR="002C5AF2">
        <w:rPr>
          <w:rFonts w:ascii="Times New Roman" w:eastAsia="Arial" w:hAnsi="Times New Roman" w:cs="Times New Roman"/>
          <w:sz w:val="24"/>
          <w:szCs w:val="24"/>
        </w:rPr>
        <w:t>ретьими лицами, привлеченными для исполнения услуг по настоящему договору</w:t>
      </w:r>
      <w:r w:rsidRPr="005217A0">
        <w:rPr>
          <w:rFonts w:ascii="Times New Roman" w:eastAsia="Arial" w:hAnsi="Times New Roman" w:cs="Times New Roman"/>
          <w:sz w:val="24"/>
          <w:szCs w:val="24"/>
        </w:rPr>
        <w:t>.</w:t>
      </w:r>
    </w:p>
    <w:p w:rsidR="001524C2" w:rsidRPr="005217A0" w:rsidRDefault="00252746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Исполнитель при предоставлении </w:t>
      </w:r>
      <w:r w:rsidR="001524C2" w:rsidRPr="005217A0">
        <w:rPr>
          <w:rFonts w:ascii="Times New Roman" w:eastAsia="Arial" w:hAnsi="Times New Roman" w:cs="Times New Roman"/>
          <w:sz w:val="24"/>
          <w:szCs w:val="24"/>
        </w:rPr>
        <w:t>услуг имеет право: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В целях исполнения Договора привлекать третьих лиц и предоставлять им полученную от Заказчика информацию, в том числе поступившие от Заказчика персональные данные.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В одностороннем внесудебном порядке отказаться от оказания услуг по Договору при нарушении Заказчиком условий настоящего Договора.</w:t>
      </w:r>
    </w:p>
    <w:p w:rsidR="001524C2" w:rsidRPr="005217A0" w:rsidRDefault="001524C2" w:rsidP="001524C2">
      <w:pPr>
        <w:spacing w:after="0" w:line="240" w:lineRule="auto"/>
        <w:ind w:left="3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ОКАЗАНИЯ КОНСУЛЬТАЦИОННЫХ УСЛУГ</w:t>
      </w:r>
    </w:p>
    <w:p w:rsidR="001524C2" w:rsidRPr="005217A0" w:rsidRDefault="00142523" w:rsidP="006135F8">
      <w:pPr>
        <w:tabs>
          <w:tab w:val="left" w:pos="142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3.1</w:t>
      </w:r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. Исполнитель приступает к оказанию услуг с момента подтверждения факта 100% </w:t>
      </w:r>
      <w:proofErr w:type="spellStart"/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>предооплаты</w:t>
      </w:r>
      <w:proofErr w:type="spellEnd"/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консультационных услуг. 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Срок оказания консультационных услуг – по обязательному предварительному согласованию сторон.</w:t>
      </w:r>
    </w:p>
    <w:p w:rsidR="001524C2" w:rsidRPr="005217A0" w:rsidRDefault="001524C2" w:rsidP="0014252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ОПЛАТЫ УСЛУГ</w:t>
      </w:r>
    </w:p>
    <w:p w:rsidR="001524C2" w:rsidRPr="00E76068" w:rsidRDefault="001524C2" w:rsidP="00E7606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068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подлежащих оказанию услуг  осуществляется посредством предварительной 100% оплаты общей стоимости услуг. 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Осуществление 100% предоплаты означает согласие Заказчика со стоимостью услуг, сроком их оказания и иными условиями Договора.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считается исполненной после поступления на расчетный счет Исполнителя суммы 100% предоплаты.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оказания услуг по настоящему Договору их приемка оформляется  Актом об оказании услуг (далее – «Акт»). </w:t>
      </w:r>
    </w:p>
    <w:p w:rsidR="001524C2" w:rsidRPr="005217A0" w:rsidRDefault="001524C2" w:rsidP="001524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Акт направляется Исполнителем электронным способом и подлежит рассмотрению Заказчиком в течение трех дней. В течение указанного срока Заказчик должен либо согласовать указанный Акт (возможно, в том числе электронным способом), либо представить Исполнителю (возможно, в том числе электронным способом) мотивированный отказ от его согласования. Если в течение указанного срока Заказчик не </w:t>
      </w:r>
      <w:r w:rsidRPr="005217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направит Исполнителю мотивированный отказ от согласования Акта, то услуги считаются оказанными в полном объеме и принятыми без замечаний.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за предоставляемые по настоящему Договору услуги может быть осуществлена третьим лицом.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4.8. В случае</w:t>
      </w:r>
      <w:proofErr w:type="gramStart"/>
      <w:r w:rsidRPr="005217A0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если аванс в виде предоплаты израсходован не полностью, или в случае оплаты Заказчиком суммы большей, чем предусмотрено прейскурантом, Исполнитель  по письменному требованию Заказчика с указанием его паспортных данных возвращает последнему надлежащую сумму в рублях по внутреннему курсу Исполнителя на день осуществления Заказчиком платежа.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90"/>
      </w:tblGrid>
      <w:tr w:rsidR="001524C2" w:rsidRPr="005217A0" w:rsidTr="001524C2"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ОТВЕТСТВЕННОСТЬ СТОРОН ПО ДОГОВОРУ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Стороны устанавливают, что Исполнитель освобождается от ответственности за неисполнение или ненадлежащее исполнение своих обязательств по оказанию консультационных услуг, если это было обусловлено непредставлением заказчиком информации (и/или представлением ее в ненадлежащей форме и/или ненадлежащего качества) для оказания услуг в соответствии с требованиями Договора, равно как и предоставление недостоверной или ложной информации.</w:t>
            </w:r>
            <w:proofErr w:type="gramEnd"/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РАЗРЕШЕНИЯ СПОРОВ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1524C2" w:rsidRPr="005217A0" w:rsidRDefault="001524C2">
            <w:pPr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иски о защите прав Заказчика будут предъявляться в суд по выбору Заказчика в соответствии с действующим законодательством РФ.</w:t>
            </w:r>
          </w:p>
          <w:p w:rsidR="001524C2" w:rsidRPr="005217A0" w:rsidRDefault="001524C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ДЕЙСТВИЯ, ПОРЯДОК ИЗМЕНЕНИЯ И РАСТОРЖЕНИЯ ДОГОВОРА</w:t>
            </w:r>
          </w:p>
          <w:p w:rsidR="001524C2" w:rsidRPr="005217A0" w:rsidRDefault="001524C2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вступает в силу с момента 100% предоплаты Заказчик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общей суммы стоимости услуг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 действует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полного исполнения сторонами своих обязательств. </w:t>
            </w:r>
          </w:p>
          <w:p w:rsidR="00D462C1" w:rsidRPr="005217A0" w:rsidRDefault="00D462C1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прекращает свое действие: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При полном исполнении сторонами своих обязательств;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сторон; 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Компании в случае, если налицо невозможность исполнения или нарушение </w:t>
            </w:r>
            <w:r w:rsidR="00DA767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ом условий настоящего договора;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уведомлен и согласен с тем, что в условия Договора Исполнителем могут быть внесены изменения в одностороннем порядке, в том числе, путем размещения новой редакции публичного предложения о заключении договора на оказание консультационных услуг на официальном сайте Исполнителя. Условия, изложенные </w:t>
            </w:r>
            <w:bookmarkStart w:id="1" w:name="_GoBack"/>
            <w:bookmarkEnd w:id="1"/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обновленной редакции публичного предложения, применяются к Договору с момента их вступления в силу.</w:t>
            </w:r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УСЛОВИЯ ДОГОВОРА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допускают факсимильное воспроизведение Исполнителем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4C2" w:rsidRPr="005217A0" w:rsidRDefault="001524C2" w:rsidP="001524C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524C2" w:rsidRPr="005217A0" w:rsidSect="009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7CA2FE"/>
    <w:lvl w:ilvl="0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3C7EF686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0000004"/>
    <w:multiLevelType w:val="multilevel"/>
    <w:tmpl w:val="6302CFB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3">
    <w:nsid w:val="16E0558D"/>
    <w:multiLevelType w:val="multilevel"/>
    <w:tmpl w:val="0B2E60FC"/>
    <w:lvl w:ilvl="0">
      <w:start w:val="1"/>
      <w:numFmt w:val="decimal"/>
      <w:lvlText w:val="%1."/>
      <w:lvlJc w:val="left"/>
      <w:pPr>
        <w:ind w:left="1068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296A6F1F"/>
    <w:multiLevelType w:val="hybridMultilevel"/>
    <w:tmpl w:val="952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5214"/>
    <w:multiLevelType w:val="hybridMultilevel"/>
    <w:tmpl w:val="FC6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7A0"/>
    <w:multiLevelType w:val="hybridMultilevel"/>
    <w:tmpl w:val="5BC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6530E"/>
    <w:multiLevelType w:val="hybridMultilevel"/>
    <w:tmpl w:val="F2B4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163B7"/>
    <w:multiLevelType w:val="hybridMultilevel"/>
    <w:tmpl w:val="182C9690"/>
    <w:lvl w:ilvl="0" w:tplc="50B23F42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61B09"/>
    <w:multiLevelType w:val="hybridMultilevel"/>
    <w:tmpl w:val="A6CC7072"/>
    <w:lvl w:ilvl="0" w:tplc="04190001">
      <w:start w:val="1"/>
      <w:numFmt w:val="bullet"/>
      <w:lvlText w:val=""/>
      <w:lvlJc w:val="left"/>
      <w:pPr>
        <w:ind w:left="2451" w:hanging="1035"/>
      </w:pPr>
      <w:rPr>
        <w:rFonts w:ascii="Symbol" w:hAnsi="Symbol" w:hint="default"/>
      </w:rPr>
    </w:lvl>
    <w:lvl w:ilvl="1" w:tplc="620E1EBC">
      <w:start w:val="8"/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C0B55"/>
    <w:multiLevelType w:val="hybridMultilevel"/>
    <w:tmpl w:val="F3E4018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6AAF"/>
    <w:multiLevelType w:val="multilevel"/>
    <w:tmpl w:val="F3D257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2"/>
    <w:rsid w:val="00142523"/>
    <w:rsid w:val="001524C2"/>
    <w:rsid w:val="00252746"/>
    <w:rsid w:val="002C5AF2"/>
    <w:rsid w:val="005217A0"/>
    <w:rsid w:val="005E1A71"/>
    <w:rsid w:val="006135F8"/>
    <w:rsid w:val="009B021D"/>
    <w:rsid w:val="009C7FBA"/>
    <w:rsid w:val="00AB1B8A"/>
    <w:rsid w:val="00D462C1"/>
    <w:rsid w:val="00DA7673"/>
    <w:rsid w:val="00E76068"/>
    <w:rsid w:val="00E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4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524C2"/>
    <w:rPr>
      <w:color w:val="0000FF" w:themeColor="hyperlink"/>
      <w:u w:val="single"/>
    </w:rPr>
  </w:style>
  <w:style w:type="paragraph" w:styleId="a">
    <w:name w:val="List Number"/>
    <w:basedOn w:val="a0"/>
    <w:unhideWhenUsed/>
    <w:rsid w:val="001524C2"/>
    <w:pPr>
      <w:numPr>
        <w:numId w:val="1"/>
      </w:numPr>
      <w:spacing w:after="240" w:line="240" w:lineRule="auto"/>
      <w:jc w:val="both"/>
    </w:pPr>
    <w:rPr>
      <w:rFonts w:ascii="Times New Roman" w:eastAsia="PMingLiU" w:hAnsi="Times New Roman" w:cs="Times New Roman"/>
      <w:kern w:val="16"/>
      <w:sz w:val="24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1524C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524C2"/>
  </w:style>
  <w:style w:type="paragraph" w:styleId="a7">
    <w:name w:val="No Spacing"/>
    <w:uiPriority w:val="1"/>
    <w:qFormat/>
    <w:rsid w:val="001524C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524C2"/>
    <w:pPr>
      <w:ind w:left="720"/>
      <w:contextualSpacing/>
    </w:pPr>
  </w:style>
  <w:style w:type="table" w:styleId="a9">
    <w:name w:val="Table Grid"/>
    <w:basedOn w:val="a2"/>
    <w:uiPriority w:val="59"/>
    <w:rsid w:val="001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Sultanova</dc:creator>
  <cp:keywords/>
  <dc:description/>
  <cp:lastModifiedBy>Nadya Sultanova</cp:lastModifiedBy>
  <cp:revision>11</cp:revision>
  <dcterms:created xsi:type="dcterms:W3CDTF">2017-07-19T06:54:00Z</dcterms:created>
  <dcterms:modified xsi:type="dcterms:W3CDTF">2017-07-19T08:06:00Z</dcterms:modified>
</cp:coreProperties>
</file>